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4B98FB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2F16">
        <w:rPr>
          <w:rFonts w:ascii="Arial" w:hAnsi="Arial" w:cs="Arial"/>
          <w:b/>
          <w:bCs/>
          <w:sz w:val="28"/>
          <w:szCs w:val="24"/>
        </w:rPr>
        <w:t>0320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4658E">
        <w:t>FS_NR_AIML_air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555039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RAN1, SA5</w:t>
      </w:r>
    </w:p>
    <w:p w14:paraId="6E0CADF1" w14:textId="5DEA1E7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6C8A0234" w:rsidR="00463675" w:rsidRPr="00BF4C72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color w:val="000000"/>
          <w:lang w:val="de-DE"/>
        </w:rPr>
        <w:t>E-mail Address:</w:t>
      </w:r>
      <w:r w:rsidRPr="00BF4C72">
        <w:rPr>
          <w:bCs/>
          <w:color w:val="000000"/>
          <w:lang w:val="de-DE"/>
        </w:rPr>
        <w:tab/>
      </w:r>
      <w:r w:rsidR="00D4658E" w:rsidRPr="00BF4C72">
        <w:rPr>
          <w:b w:val="0"/>
          <w:bCs/>
          <w:color w:val="000000"/>
          <w:lang w:val="de-DE"/>
        </w:rPr>
        <w:t>juanzhan@qti.qualcomm.com</w:t>
      </w: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0F36B7F8" w:rsidR="00A46486" w:rsidRDefault="002B040A" w:rsidP="00FA43FB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S2-2500041.</w:t>
      </w:r>
      <w:r w:rsidR="004D5EA7">
        <w:rPr>
          <w:rFonts w:ascii="Arial" w:hAnsi="Arial" w:cs="Arial"/>
        </w:rPr>
        <w:t xml:space="preserve"> SA2 discussed the </w:t>
      </w:r>
      <w:r w:rsidR="00FA43FB">
        <w:rPr>
          <w:rFonts w:ascii="Arial" w:hAnsi="Arial" w:cs="Arial"/>
        </w:rPr>
        <w:t xml:space="preserve">following RAN1 required procedures and </w:t>
      </w:r>
      <w:r w:rsidR="002B0D0B">
        <w:rPr>
          <w:rFonts w:ascii="Arial" w:hAnsi="Arial" w:cs="Arial"/>
        </w:rPr>
        <w:t>agreed that SA2, SA3 and SA5 also need to be involved to define a standardized end</w:t>
      </w:r>
      <w:r w:rsidR="00DD2E12">
        <w:rPr>
          <w:rFonts w:ascii="Arial" w:hAnsi="Arial" w:cs="Arial"/>
        </w:rPr>
        <w:t>-</w:t>
      </w:r>
      <w:r w:rsidR="002B0D0B">
        <w:rPr>
          <w:rFonts w:ascii="Arial" w:hAnsi="Arial" w:cs="Arial"/>
        </w:rPr>
        <w:t>to</w:t>
      </w:r>
      <w:r w:rsidR="00DD2E12">
        <w:rPr>
          <w:rFonts w:ascii="Arial" w:hAnsi="Arial" w:cs="Arial"/>
        </w:rPr>
        <w:t>-</w:t>
      </w:r>
      <w:r w:rsidR="002B0D0B">
        <w:rPr>
          <w:rFonts w:ascii="Arial" w:hAnsi="Arial" w:cs="Arial"/>
        </w:rPr>
        <w:t xml:space="preserve">end solution to support </w:t>
      </w:r>
      <w:r w:rsidR="00AA7011">
        <w:rPr>
          <w:rFonts w:ascii="Arial" w:hAnsi="Arial" w:cs="Arial"/>
        </w:rPr>
        <w:t>the inter-vendor training collaboration between NG-RAN</w:t>
      </w:r>
      <w:r w:rsidR="006E0B32">
        <w:rPr>
          <w:rFonts w:ascii="Arial" w:hAnsi="Arial" w:cs="Arial"/>
        </w:rPr>
        <w:t xml:space="preserve"> side</w:t>
      </w:r>
      <w:r w:rsidR="00AA7011">
        <w:rPr>
          <w:rFonts w:ascii="Arial" w:hAnsi="Arial" w:cs="Arial"/>
        </w:rPr>
        <w:t xml:space="preserve"> and UE</w:t>
      </w:r>
      <w:r w:rsidR="006E0B32">
        <w:rPr>
          <w:rFonts w:ascii="Arial" w:hAnsi="Arial" w:cs="Arial"/>
        </w:rPr>
        <w:t xml:space="preserve"> side</w:t>
      </w:r>
      <w:r w:rsidR="00AA7011">
        <w:rPr>
          <w:rFonts w:ascii="Arial" w:hAnsi="Arial" w:cs="Arial"/>
        </w:rPr>
        <w:t xml:space="preserve">. </w:t>
      </w:r>
    </w:p>
    <w:p w14:paraId="549A26A4" w14:textId="77777777" w:rsidR="00321E3D" w:rsidRDefault="00321E3D" w:rsidP="00321E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21E3D" w14:paraId="4FB504AC" w14:textId="77777777">
        <w:tc>
          <w:tcPr>
            <w:tcW w:w="9350" w:type="dxa"/>
            <w:shd w:val="clear" w:color="auto" w:fill="auto"/>
          </w:tcPr>
          <w:p w14:paraId="0977B059" w14:textId="43F7B43A" w:rsidR="00321E3D" w:rsidRDefault="000031D4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  <w:b/>
                <w:bCs/>
                <w:lang w:val="en-US"/>
              </w:rPr>
              <w:t>NW-side shares model parameters</w:t>
            </w:r>
            <w:r>
              <w:rPr>
                <w:rFonts w:ascii="Calibri" w:eastAsia="DengXian" w:hAnsi="Calibri" w:cs="Arial"/>
                <w:b/>
                <w:bCs/>
                <w:lang w:val="en-US" w:eastAsia="zh-CN"/>
              </w:rPr>
              <w:t xml:space="preserve"> and/or </w:t>
            </w:r>
            <w:r>
              <w:rPr>
                <w:rFonts w:ascii="Calibri" w:hAnsi="Calibri" w:cs="Arial"/>
                <w:b/>
                <w:bCs/>
                <w:lang w:val="en-US"/>
              </w:rPr>
              <w:t xml:space="preserve">dataset to the UE or UE-side </w:t>
            </w:r>
            <w:r>
              <w:rPr>
                <w:rFonts w:ascii="Calibri" w:hAnsi="Calibri" w:cs="Arial"/>
                <w:lang w:val="en-US"/>
              </w:rPr>
              <w:t xml:space="preserve">via </w:t>
            </w:r>
            <w:r>
              <w:rPr>
                <w:rFonts w:ascii="Calibri" w:hAnsi="Calibri" w:cs="Arial"/>
                <w:b/>
                <w:bCs/>
                <w:lang w:val="en-US"/>
              </w:rPr>
              <w:t xml:space="preserve">standardized signaling, </w:t>
            </w:r>
            <w:r>
              <w:rPr>
                <w:rFonts w:ascii="Calibri" w:hAnsi="Calibri" w:cs="Arial"/>
                <w:lang w:val="en-US"/>
              </w:rPr>
              <w:t>where the model parameters and/or dataset received at the UE or UE-side go through offline engineering at the UE-side (e.g., UE-side OTT server)</w:t>
            </w:r>
            <w:r>
              <w:rPr>
                <w:rFonts w:ascii="Calibri" w:eastAsia="DengXian" w:hAnsi="Calibri" w:cs="Arial" w:hint="eastAsia"/>
                <w:lang w:val="en-US" w:eastAsia="zh-CN"/>
              </w:rPr>
              <w:t xml:space="preserve">, e.g., model </w:t>
            </w:r>
            <w:r>
              <w:rPr>
                <w:rFonts w:ascii="Calibri" w:eastAsia="DengXian" w:hAnsi="Calibri" w:cs="Arial"/>
                <w:lang w:val="en-US" w:eastAsia="zh-CN"/>
              </w:rPr>
              <w:t>(re-)training</w:t>
            </w:r>
            <w:r>
              <w:rPr>
                <w:rFonts w:ascii="Calibri" w:hAnsi="Calibri" w:cs="Arial"/>
                <w:lang w:val="en-US"/>
              </w:rPr>
              <w:t>.</w:t>
            </w:r>
          </w:p>
        </w:tc>
      </w:tr>
    </w:tbl>
    <w:p w14:paraId="7A6AABE0" w14:textId="669316E2" w:rsidR="002B0D0B" w:rsidRDefault="002B0D0B" w:rsidP="00321E3D"/>
    <w:p w14:paraId="348C4649" w14:textId="77777777" w:rsidR="00B14682" w:rsidRDefault="00B14682" w:rsidP="00B146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4682" w14:paraId="0483AA81" w14:textId="77777777">
        <w:tc>
          <w:tcPr>
            <w:tcW w:w="9350" w:type="dxa"/>
            <w:shd w:val="clear" w:color="auto" w:fill="auto"/>
          </w:tcPr>
          <w:p w14:paraId="2EAD2136" w14:textId="77777777" w:rsidR="00074F5A" w:rsidRDefault="00074F5A" w:rsidP="00074F5A">
            <w:pPr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  <w:lang w:val="en-US"/>
              </w:rPr>
              <w:t>RAN1 concluded that the standardized signaling may be</w:t>
            </w:r>
          </w:p>
          <w:p w14:paraId="42DFCE89" w14:textId="77777777" w:rsidR="00074F5A" w:rsidRDefault="00074F5A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b/>
                <w:bCs/>
                <w:lang w:val="en-US"/>
              </w:rPr>
            </w:pPr>
            <w:r>
              <w:rPr>
                <w:rFonts w:ascii="Calibri" w:hAnsi="Calibri" w:cs="Arial"/>
                <w:b/>
                <w:bCs/>
                <w:lang w:val="en-US"/>
              </w:rPr>
              <w:t>over-the-air, or</w:t>
            </w:r>
          </w:p>
          <w:p w14:paraId="04712ACD" w14:textId="109736FD" w:rsidR="00B14682" w:rsidRDefault="00074F5A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b/>
                <w:bCs/>
                <w:lang w:val="en-US"/>
              </w:rPr>
            </w:pPr>
            <w:r>
              <w:rPr>
                <w:rFonts w:ascii="Calibri" w:hAnsi="Calibri" w:cs="Arial"/>
                <w:b/>
                <w:bCs/>
                <w:lang w:val="en-US"/>
              </w:rPr>
              <w:t>other approaches</w:t>
            </w:r>
          </w:p>
        </w:tc>
      </w:tr>
    </w:tbl>
    <w:p w14:paraId="3A178C6D" w14:textId="77777777" w:rsidR="00B14682" w:rsidRDefault="00B14682" w:rsidP="00321E3D"/>
    <w:p w14:paraId="523CD933" w14:textId="259B4767" w:rsidR="00BF4C72" w:rsidRDefault="0038091A" w:rsidP="0038091A">
      <w:pPr>
        <w:ind w:left="54"/>
        <w:rPr>
          <w:rFonts w:ascii="Arial" w:hAnsi="Arial" w:cs="Arial"/>
        </w:rPr>
      </w:pPr>
      <w:r w:rsidRPr="002B0D0B">
        <w:rPr>
          <w:rFonts w:ascii="Arial" w:hAnsi="Arial" w:cs="Arial"/>
        </w:rPr>
        <w:t xml:space="preserve">SA2 discussed the over-the-air solution proposed by RAN1, </w:t>
      </w:r>
      <w:r>
        <w:rPr>
          <w:rFonts w:ascii="Arial" w:hAnsi="Arial" w:cs="Arial"/>
        </w:rPr>
        <w:t xml:space="preserve">which included the procedure to share the model parameters and /or data set from </w:t>
      </w:r>
      <w:r w:rsidR="0016685B">
        <w:rPr>
          <w:rFonts w:ascii="Arial" w:hAnsi="Arial" w:cs="Arial"/>
        </w:rPr>
        <w:t>NW-</w:t>
      </w:r>
      <w:r>
        <w:rPr>
          <w:rFonts w:ascii="Arial" w:hAnsi="Arial" w:cs="Arial"/>
        </w:rPr>
        <w:t xml:space="preserve"> side</w:t>
      </w:r>
      <w:r w:rsidR="00DD2E12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UE </w:t>
      </w:r>
      <w:r w:rsidR="00DD2E12">
        <w:rPr>
          <w:rFonts w:ascii="Arial" w:hAnsi="Arial" w:cs="Arial"/>
        </w:rPr>
        <w:t xml:space="preserve">and from UE to </w:t>
      </w:r>
      <w:r>
        <w:rPr>
          <w:rFonts w:ascii="Arial" w:hAnsi="Arial" w:cs="Arial"/>
        </w:rPr>
        <w:t xml:space="preserve">UE-side. </w:t>
      </w:r>
    </w:p>
    <w:p w14:paraId="6F663101" w14:textId="48ED2DA5" w:rsidR="0038091A" w:rsidRDefault="0038091A" w:rsidP="0038091A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There is no existing solution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r w:rsidR="00F47001">
        <w:rPr>
          <w:rFonts w:ascii="Arial" w:hAnsi="Arial" w:cs="Arial"/>
        </w:rPr>
        <w:t>discuss</w:t>
      </w:r>
      <w:r>
        <w:rPr>
          <w:rFonts w:ascii="Arial" w:hAnsi="Arial" w:cs="Arial"/>
        </w:rPr>
        <w:t xml:space="preserve"> the </w:t>
      </w:r>
      <w:r w:rsidR="00F47001">
        <w:rPr>
          <w:rFonts w:ascii="Arial" w:hAnsi="Arial" w:cs="Arial"/>
        </w:rPr>
        <w:t xml:space="preserve">solution of </w:t>
      </w:r>
      <w:r w:rsidR="00C200E9">
        <w:rPr>
          <w:rFonts w:ascii="Arial" w:hAnsi="Arial" w:cs="Arial"/>
        </w:rPr>
        <w:t>model parameters and /or data set sharing from</w:t>
      </w:r>
      <w:r w:rsidR="00BF4C72">
        <w:rPr>
          <w:rFonts w:ascii="Arial" w:hAnsi="Arial" w:cs="Arial"/>
        </w:rPr>
        <w:t xml:space="preserve"> NW</w:t>
      </w:r>
      <w:r w:rsidR="0016685B">
        <w:rPr>
          <w:rFonts w:ascii="Arial" w:hAnsi="Arial" w:cs="Arial"/>
        </w:rPr>
        <w:t>-</w:t>
      </w:r>
      <w:r w:rsidR="00BF4C72">
        <w:rPr>
          <w:rFonts w:ascii="Arial" w:hAnsi="Arial" w:cs="Arial"/>
        </w:rPr>
        <w:t>side to</w:t>
      </w:r>
      <w:r w:rsidR="00C200E9">
        <w:rPr>
          <w:rFonts w:ascii="Arial" w:hAnsi="Arial" w:cs="Arial"/>
        </w:rPr>
        <w:t xml:space="preserve"> UE</w:t>
      </w:r>
      <w:r w:rsidR="00BF4C72">
        <w:rPr>
          <w:rFonts w:ascii="Arial" w:hAnsi="Arial" w:cs="Arial"/>
        </w:rPr>
        <w:t xml:space="preserve"> and from UE</w:t>
      </w:r>
      <w:r w:rsidR="00C200E9">
        <w:rPr>
          <w:rFonts w:ascii="Arial" w:hAnsi="Arial" w:cs="Arial"/>
        </w:rPr>
        <w:t xml:space="preserve"> to UE-side</w:t>
      </w:r>
      <w:r w:rsidR="00F47001">
        <w:rPr>
          <w:rFonts w:ascii="Arial" w:hAnsi="Arial" w:cs="Arial"/>
        </w:rPr>
        <w:t xml:space="preserve">. </w:t>
      </w:r>
      <w:r w:rsidR="000926C9">
        <w:rPr>
          <w:rFonts w:ascii="Arial" w:hAnsi="Arial" w:cs="Arial"/>
        </w:rPr>
        <w:t xml:space="preserve">SA2 also </w:t>
      </w:r>
      <w:r w:rsidR="00BF4C72">
        <w:rPr>
          <w:rFonts w:ascii="Arial" w:hAnsi="Arial" w:cs="Arial"/>
        </w:rPr>
        <w:t xml:space="preserve">has </w:t>
      </w:r>
      <w:r w:rsidR="000926C9">
        <w:rPr>
          <w:rFonts w:ascii="Arial" w:hAnsi="Arial" w:cs="Arial"/>
        </w:rPr>
        <w:t>a concern about the UE impact</w:t>
      </w:r>
      <w:r w:rsidR="00BF4C72">
        <w:rPr>
          <w:rFonts w:ascii="Arial" w:hAnsi="Arial" w:cs="Arial"/>
        </w:rPr>
        <w:t xml:space="preserve"> in being used as a “relay” to transfer data from NW-side to UE-side</w:t>
      </w:r>
      <w:r w:rsidR="004F7084">
        <w:rPr>
          <w:rFonts w:ascii="Arial" w:hAnsi="Arial" w:cs="Arial"/>
        </w:rPr>
        <w:t xml:space="preserve"> since</w:t>
      </w:r>
      <w:r w:rsidR="00BF4C72">
        <w:rPr>
          <w:rFonts w:ascii="Arial" w:hAnsi="Arial" w:cs="Arial"/>
        </w:rPr>
        <w:t xml:space="preserve"> it is not clear which UE will be selected to perform this operation considering there may be implications to charging</w:t>
      </w:r>
      <w:r w:rsidR="000926C9">
        <w:rPr>
          <w:rFonts w:ascii="Arial" w:hAnsi="Arial" w:cs="Arial"/>
        </w:rPr>
        <w:t xml:space="preserve"> and </w:t>
      </w:r>
      <w:r w:rsidR="004F7084">
        <w:rPr>
          <w:rFonts w:ascii="Arial" w:hAnsi="Arial" w:cs="Arial"/>
        </w:rPr>
        <w:t xml:space="preserve">to </w:t>
      </w:r>
      <w:r w:rsidR="000926C9">
        <w:rPr>
          <w:rFonts w:ascii="Arial" w:hAnsi="Arial" w:cs="Arial"/>
        </w:rPr>
        <w:t>the time efficiency for the over-the-air solution.</w:t>
      </w:r>
    </w:p>
    <w:p w14:paraId="7DE1A86E" w14:textId="77777777" w:rsidR="003B2974" w:rsidRPr="002B0D0B" w:rsidRDefault="003B2974" w:rsidP="0038091A">
      <w:pPr>
        <w:ind w:left="54"/>
        <w:rPr>
          <w:rFonts w:ascii="Arial" w:hAnsi="Arial" w:cs="Arial"/>
        </w:rPr>
      </w:pPr>
    </w:p>
    <w:p w14:paraId="4B2575E5" w14:textId="395D0A6D" w:rsidR="0038091A" w:rsidRPr="00F47001" w:rsidRDefault="00F47001" w:rsidP="00F47001">
      <w:pPr>
        <w:ind w:left="54"/>
        <w:rPr>
          <w:rFonts w:ascii="Arial" w:hAnsi="Arial" w:cs="Arial"/>
        </w:rPr>
      </w:pPr>
      <w:r w:rsidRPr="00F47001">
        <w:rPr>
          <w:rFonts w:ascii="Arial" w:hAnsi="Arial" w:cs="Arial"/>
        </w:rPr>
        <w:t xml:space="preserve">SA2 also </w:t>
      </w:r>
      <w:r>
        <w:rPr>
          <w:rFonts w:ascii="Arial" w:hAnsi="Arial" w:cs="Arial"/>
        </w:rPr>
        <w:t>discussed the standard signa</w:t>
      </w:r>
      <w:r w:rsidR="00BF4C7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ling solution of other approaches without UE’s involvement. </w:t>
      </w:r>
      <w:r w:rsidR="001D112B">
        <w:rPr>
          <w:rFonts w:ascii="Arial" w:hAnsi="Arial" w:cs="Arial"/>
        </w:rPr>
        <w:t xml:space="preserve">For example: </w:t>
      </w:r>
      <w:r w:rsidR="0016685B">
        <w:rPr>
          <w:rFonts w:ascii="Arial" w:hAnsi="Arial" w:cs="Arial"/>
        </w:rPr>
        <w:t>model parameters and /or data set are shared from NW- side to OAM and then exposed from OAM through some APIs to UE-side</w:t>
      </w:r>
      <w:r w:rsidR="008C07FA">
        <w:rPr>
          <w:rFonts w:ascii="Arial" w:hAnsi="Arial" w:cs="Arial"/>
        </w:rPr>
        <w:t xml:space="preserve">. </w:t>
      </w:r>
      <w:r w:rsidR="001D112B">
        <w:rPr>
          <w:rFonts w:ascii="Arial" w:hAnsi="Arial" w:cs="Arial"/>
        </w:rPr>
        <w:t xml:space="preserve">SA2 would suggest SA5 to </w:t>
      </w:r>
      <w:r w:rsidR="002E1F99">
        <w:rPr>
          <w:rFonts w:ascii="Arial" w:hAnsi="Arial" w:cs="Arial"/>
        </w:rPr>
        <w:t>provide the feedback on</w:t>
      </w:r>
      <w:r w:rsidR="001D112B">
        <w:rPr>
          <w:rFonts w:ascii="Arial" w:hAnsi="Arial" w:cs="Arial"/>
        </w:rPr>
        <w:t xml:space="preserve"> the feasibility</w:t>
      </w:r>
      <w:r w:rsidR="00F15FEF">
        <w:rPr>
          <w:rFonts w:ascii="Arial" w:hAnsi="Arial" w:cs="Arial"/>
        </w:rPr>
        <w:t xml:space="preserve"> of standardized signa</w:t>
      </w:r>
      <w:r w:rsidR="000B00C3">
        <w:rPr>
          <w:rFonts w:ascii="Arial" w:hAnsi="Arial" w:cs="Arial"/>
        </w:rPr>
        <w:t>l</w:t>
      </w:r>
      <w:r w:rsidR="00F15FEF">
        <w:rPr>
          <w:rFonts w:ascii="Arial" w:hAnsi="Arial" w:cs="Arial"/>
        </w:rPr>
        <w:t>ling</w:t>
      </w:r>
      <w:r w:rsidR="001D112B">
        <w:rPr>
          <w:rFonts w:ascii="Arial" w:hAnsi="Arial" w:cs="Arial"/>
        </w:rPr>
        <w:t xml:space="preserve"> </w:t>
      </w:r>
      <w:r w:rsidR="00F15FEF">
        <w:rPr>
          <w:rFonts w:ascii="Arial" w:hAnsi="Arial" w:cs="Arial"/>
        </w:rPr>
        <w:t>for the other approaches without UE’s involvement.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28135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>SA2 suggests RAN1 to take the above information into account</w:t>
      </w:r>
      <w:r w:rsidR="00A46486">
        <w:rPr>
          <w:rFonts w:ascii="Arial" w:hAnsi="Arial" w:cs="Arial"/>
        </w:rPr>
        <w:t>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C36D991" w14:textId="77ECD6BD" w:rsidR="00BF4C72" w:rsidRPr="00487D6A" w:rsidRDefault="00BF4C72" w:rsidP="00257CEE">
      <w:pPr>
        <w:ind w:left="994" w:hanging="994"/>
        <w:rPr>
          <w:rFonts w:ascii="Arial" w:hAnsi="Arial" w:cs="Arial"/>
          <w:b/>
          <w:bCs/>
        </w:rPr>
      </w:pPr>
      <w:r w:rsidRPr="00487D6A">
        <w:rPr>
          <w:rFonts w:ascii="Arial" w:hAnsi="Arial" w:cs="Arial"/>
          <w:b/>
          <w:bCs/>
        </w:rPr>
        <w:t xml:space="preserve">To SA5: </w:t>
      </w:r>
    </w:p>
    <w:p w14:paraId="596D69FA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3E920308" w14:textId="4DFCF0AD" w:rsidR="00BF4C72" w:rsidRDefault="00BF4C72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suggests SA5 to </w:t>
      </w:r>
      <w:proofErr w:type="gramStart"/>
      <w:r>
        <w:rPr>
          <w:rFonts w:ascii="Arial" w:hAnsi="Arial" w:cs="Arial"/>
        </w:rPr>
        <w:t>take a look</w:t>
      </w:r>
      <w:proofErr w:type="gramEnd"/>
      <w:r>
        <w:rPr>
          <w:rFonts w:ascii="Arial" w:hAnsi="Arial" w:cs="Arial"/>
        </w:rPr>
        <w:t xml:space="preserve"> and comment on the feasibility of a solution where model parameters and /or data set can be shared from </w:t>
      </w:r>
      <w:r w:rsidR="0016685B">
        <w:rPr>
          <w:rFonts w:ascii="Arial" w:hAnsi="Arial" w:cs="Arial"/>
        </w:rPr>
        <w:t>NW-</w:t>
      </w:r>
      <w:r>
        <w:rPr>
          <w:rFonts w:ascii="Arial" w:hAnsi="Arial" w:cs="Arial"/>
        </w:rPr>
        <w:t xml:space="preserve"> side to OAM and then exposed </w:t>
      </w:r>
      <w:r w:rsidR="000B00C3">
        <w:rPr>
          <w:rFonts w:ascii="Arial" w:hAnsi="Arial" w:cs="Arial"/>
        </w:rPr>
        <w:t xml:space="preserve">from OAM </w:t>
      </w:r>
      <w:r>
        <w:rPr>
          <w:rFonts w:ascii="Arial" w:hAnsi="Arial" w:cs="Arial"/>
        </w:rPr>
        <w:t>through some APIs to UE-side.</w:t>
      </w:r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7BA9FF9A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0DF57" w14:textId="77777777" w:rsidR="000C774C" w:rsidRDefault="000C774C">
      <w:r>
        <w:separator/>
      </w:r>
    </w:p>
  </w:endnote>
  <w:endnote w:type="continuationSeparator" w:id="0">
    <w:p w14:paraId="75596487" w14:textId="77777777" w:rsidR="000C774C" w:rsidRDefault="000C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61A86" w14:textId="77777777" w:rsidR="000C774C" w:rsidRDefault="000C774C">
      <w:r>
        <w:separator/>
      </w:r>
    </w:p>
  </w:footnote>
  <w:footnote w:type="continuationSeparator" w:id="0">
    <w:p w14:paraId="167C0FF4" w14:textId="77777777" w:rsidR="000C774C" w:rsidRDefault="000C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6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1"/>
  </w:num>
  <w:num w:numId="17" w16cid:durableId="888762810">
    <w:abstractNumId w:val="10"/>
  </w:num>
  <w:num w:numId="18" w16cid:durableId="612396225">
    <w:abstractNumId w:val="15"/>
  </w:num>
  <w:num w:numId="19" w16cid:durableId="5098330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34DD"/>
    <w:rsid w:val="00066AAD"/>
    <w:rsid w:val="00074F5A"/>
    <w:rsid w:val="00077A67"/>
    <w:rsid w:val="000853EA"/>
    <w:rsid w:val="000901E3"/>
    <w:rsid w:val="000926C9"/>
    <w:rsid w:val="00092844"/>
    <w:rsid w:val="000A468F"/>
    <w:rsid w:val="000B00C3"/>
    <w:rsid w:val="000B08DF"/>
    <w:rsid w:val="000B70AE"/>
    <w:rsid w:val="000C2B99"/>
    <w:rsid w:val="000C4018"/>
    <w:rsid w:val="000C6CA1"/>
    <w:rsid w:val="000C774C"/>
    <w:rsid w:val="000D75B4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E07ED"/>
    <w:rsid w:val="002E1F99"/>
    <w:rsid w:val="002E586D"/>
    <w:rsid w:val="003007F7"/>
    <w:rsid w:val="00305252"/>
    <w:rsid w:val="00321E3D"/>
    <w:rsid w:val="00324937"/>
    <w:rsid w:val="0033148C"/>
    <w:rsid w:val="00343BBE"/>
    <w:rsid w:val="00344778"/>
    <w:rsid w:val="00364DDF"/>
    <w:rsid w:val="0038091A"/>
    <w:rsid w:val="00381387"/>
    <w:rsid w:val="003856A3"/>
    <w:rsid w:val="00387EBE"/>
    <w:rsid w:val="003A2DAF"/>
    <w:rsid w:val="003A4C02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FDC"/>
    <w:rsid w:val="004B5E3F"/>
    <w:rsid w:val="004C3C1E"/>
    <w:rsid w:val="004D217C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82D"/>
    <w:rsid w:val="006C17FB"/>
    <w:rsid w:val="006C4516"/>
    <w:rsid w:val="006C574D"/>
    <w:rsid w:val="006C5B43"/>
    <w:rsid w:val="006D0D25"/>
    <w:rsid w:val="006D0D7C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07FA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3E0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B15"/>
    <w:rsid w:val="00AA7011"/>
    <w:rsid w:val="00AA7EEF"/>
    <w:rsid w:val="00AB0ABD"/>
    <w:rsid w:val="00AC50B2"/>
    <w:rsid w:val="00AC6962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5FEF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QC_166e</cp:lastModifiedBy>
  <cp:revision>59</cp:revision>
  <cp:lastPrinted>2002-04-23T08:10:00Z</cp:lastPrinted>
  <dcterms:created xsi:type="dcterms:W3CDTF">2023-05-02T11:25:00Z</dcterms:created>
  <dcterms:modified xsi:type="dcterms:W3CDTF">2025-01-14T06:19:00Z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